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92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3"/>
      </w:tblGrid>
      <w:tr w14:paraId="4A3E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9923" w:type="dxa"/>
            <w:vAlign w:val="center"/>
          </w:tcPr>
          <w:p w14:paraId="1A81B17C">
            <w:pPr>
              <w:bidi/>
              <w:spacing w:after="0" w:line="240" w:lineRule="auto"/>
              <w:rPr>
                <w:sz w:val="32"/>
                <w:szCs w:val="32"/>
              </w:rPr>
            </w:pPr>
            <w:bookmarkStart w:id="2" w:name="_GoBack"/>
            <w:bookmarkEnd w:id="2"/>
            <w:r>
              <w:rPr>
                <w:rFonts w:cs="Arial"/>
                <w:b w:val="0"/>
                <w:bCs w:val="0"/>
                <w:sz w:val="32"/>
                <w:szCs w:val="32"/>
                <w:rtl/>
              </w:rPr>
              <w:t>اسم مؤسسة التعليم العالي</w:t>
            </w:r>
            <w:r>
              <w:rPr>
                <w:rFonts w:cs="Arial"/>
                <w:b/>
                <w:bCs/>
                <w:sz w:val="32"/>
                <w:szCs w:val="32"/>
                <w:rtl/>
              </w:rPr>
              <w:t>:</w:t>
            </w:r>
            <w:r>
              <w:rPr>
                <w:rFonts w:hint="default" w:cs="Arial"/>
                <w:b/>
                <w:bCs/>
                <w:sz w:val="32"/>
                <w:szCs w:val="32"/>
                <w:rtl/>
              </w:rPr>
              <w:t>جامعة فرحات عباس سطيف 1</w:t>
            </w:r>
          </w:p>
          <w:p w14:paraId="65C3B766">
            <w:pPr>
              <w:bidi/>
              <w:spacing w:after="0" w:line="240" w:lineRule="auto"/>
              <w:rPr>
                <w:sz w:val="32"/>
                <w:szCs w:val="32"/>
              </w:rPr>
            </w:pPr>
            <w:r>
              <w:rPr>
                <w:rFonts w:cs="Arial"/>
                <w:b w:val="0"/>
                <w:bCs w:val="0"/>
                <w:sz w:val="32"/>
                <w:szCs w:val="32"/>
                <w:rtl/>
              </w:rPr>
              <w:t>القسم</w:t>
            </w:r>
            <w:r>
              <w:rPr>
                <w:rFonts w:cs="Arial"/>
                <w:b/>
                <w:bCs/>
                <w:sz w:val="32"/>
                <w:szCs w:val="32"/>
                <w:rtl/>
              </w:rPr>
              <w:t>:</w:t>
            </w:r>
            <w:r>
              <w:rPr>
                <w:rFonts w:hint="default" w:cs="Arial"/>
                <w:b/>
                <w:bCs/>
                <w:sz w:val="32"/>
                <w:szCs w:val="32"/>
                <w:rtl/>
              </w:rPr>
              <w:t>علم الأحياء الدقيقة</w:t>
            </w:r>
          </w:p>
        </w:tc>
      </w:tr>
    </w:tbl>
    <w:p w14:paraId="51AA99CD">
      <w:pPr>
        <w:bidi/>
        <w:rPr>
          <w:sz w:val="12"/>
          <w:szCs w:val="12"/>
        </w:rPr>
      </w:pPr>
    </w:p>
    <w:tbl>
      <w:tblPr>
        <w:tblStyle w:val="9"/>
        <w:tblW w:w="992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3"/>
      </w:tblGrid>
      <w:tr w14:paraId="0CE89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9923" w:type="dxa"/>
            <w:shd w:val="clear" w:color="auto" w:fill="D8D8D8" w:themeFill="background1" w:themeFillShade="D9"/>
            <w:vAlign w:val="center"/>
          </w:tcPr>
          <w:p w14:paraId="0F2E166A">
            <w:pPr>
              <w:bidi/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 w:cs="Arial"/>
                <w:b/>
                <w:bCs/>
                <w:sz w:val="36"/>
                <w:szCs w:val="36"/>
                <w:rtl/>
              </w:rPr>
              <w:t>منهج</w:t>
            </w:r>
            <w:r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>
              <w:rPr>
                <w:rFonts w:hint="cs" w:cs="Arial"/>
                <w:b/>
                <w:bCs/>
                <w:sz w:val="36"/>
                <w:szCs w:val="36"/>
                <w:rtl/>
              </w:rPr>
              <w:t>ة</w:t>
            </w:r>
          </w:p>
          <w:p w14:paraId="1DA038DC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14:paraId="412A8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923" w:type="dxa"/>
            <w:vAlign w:val="center"/>
          </w:tcPr>
          <w:p w14:paraId="7CD4494F">
            <w:pPr>
              <w:bidi/>
              <w:spacing w:after="0" w:line="240" w:lineRule="auto"/>
              <w:jc w:val="center"/>
              <w:rPr>
                <w:rFonts w:hint="cs" w:cs="Arial"/>
                <w:b w:val="0"/>
                <w:bCs w:val="0"/>
                <w:sz w:val="36"/>
                <w:szCs w:val="36"/>
                <w:rtl/>
              </w:rPr>
            </w:pPr>
            <w:r>
              <w:rPr>
                <w:rFonts w:cs="Arial"/>
                <w:b w:val="0"/>
                <w:bCs w:val="0"/>
                <w:sz w:val="36"/>
                <w:szCs w:val="36"/>
                <w:rtl/>
              </w:rPr>
              <w:t>عنوان المادة</w:t>
            </w:r>
            <w:r>
              <w:rPr>
                <w:rFonts w:hint="cs" w:cs="Arial"/>
                <w:b w:val="0"/>
                <w:bCs w:val="0"/>
                <w:sz w:val="36"/>
                <w:szCs w:val="36"/>
                <w:rtl/>
              </w:rPr>
              <w:t>:</w:t>
            </w:r>
          </w:p>
          <w:p w14:paraId="3E034AE5">
            <w:pPr>
              <w:bidi/>
              <w:spacing w:after="0" w:line="240" w:lineRule="auto"/>
              <w:jc w:val="center"/>
              <w:rPr>
                <w:rFonts w:hint="cs" w:cs="Arial"/>
                <w:b/>
                <w:bCs/>
                <w:sz w:val="36"/>
                <w:szCs w:val="36"/>
                <w:rtl/>
              </w:rPr>
            </w:pPr>
            <w:r>
              <w:rPr>
                <w:rFonts w:hint="cs" w:cs="Arial"/>
                <w:b/>
                <w:bCs/>
                <w:sz w:val="36"/>
                <w:szCs w:val="36"/>
                <w:rtl/>
              </w:rPr>
              <w:t> المناعة المضادة للعدوى</w:t>
            </w:r>
          </w:p>
        </w:tc>
      </w:tr>
    </w:tbl>
    <w:p w14:paraId="2BB98CB9">
      <w:pPr>
        <w:bidi/>
        <w:rPr>
          <w:sz w:val="10"/>
          <w:szCs w:val="10"/>
          <w:rtl/>
          <w:lang w:bidi="ar-DZ"/>
        </w:rPr>
      </w:pPr>
    </w:p>
    <w:tbl>
      <w:tblPr>
        <w:tblStyle w:val="9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3128"/>
        <w:gridCol w:w="954"/>
        <w:gridCol w:w="1428"/>
        <w:gridCol w:w="966"/>
        <w:gridCol w:w="1985"/>
      </w:tblGrid>
      <w:tr w14:paraId="6A231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7" w:hRule="atLeast"/>
        </w:trPr>
        <w:tc>
          <w:tcPr>
            <w:tcW w:w="4106" w:type="dxa"/>
            <w:gridSpan w:val="2"/>
            <w:vMerge w:val="restart"/>
            <w:shd w:val="clear" w:color="auto" w:fill="D8D8D8" w:themeFill="background1" w:themeFillShade="D9"/>
            <w:vAlign w:val="center"/>
          </w:tcPr>
          <w:p w14:paraId="7D1C3966">
            <w:pPr>
              <w:bidi/>
              <w:spacing w:after="0" w:line="240" w:lineRule="auto"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16"/>
                <w:rFonts w:hint="cs"/>
                <w:b/>
                <w:bCs/>
                <w:sz w:val="36"/>
                <w:szCs w:val="36"/>
                <w:rtl/>
              </w:rPr>
              <w:t>أستاذ المادة</w:t>
            </w:r>
          </w:p>
        </w:tc>
        <w:tc>
          <w:tcPr>
            <w:tcW w:w="5781" w:type="dxa"/>
            <w:gridSpan w:val="4"/>
            <w:shd w:val="clear" w:color="auto" w:fill="D8D8D8" w:themeFill="background1" w:themeFillShade="D9"/>
            <w:vAlign w:val="center"/>
          </w:tcPr>
          <w:p w14:paraId="10BB8A6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Arial"/>
                <w:b w:val="0"/>
                <w:bCs w:val="0"/>
                <w:sz w:val="28"/>
                <w:szCs w:val="28"/>
                <w:rtl/>
                <w:lang w:bidi="ar-DZ"/>
              </w:rPr>
              <w:t>اسم ولقب الأستاذ</w:t>
            </w:r>
            <w:r>
              <w:rPr>
                <w:rFonts w:hint="cs" w:cs="Arial"/>
                <w:b/>
                <w:bCs/>
                <w:sz w:val="28"/>
                <w:szCs w:val="28"/>
                <w:rtl/>
                <w:lang w:bidi="ar-DZ"/>
              </w:rPr>
              <w:t>: أ.د. خنشوش عبد الحليم</w:t>
            </w:r>
          </w:p>
        </w:tc>
      </w:tr>
      <w:tr w14:paraId="49B50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4106" w:type="dxa"/>
            <w:gridSpan w:val="2"/>
            <w:vMerge w:val="continue"/>
            <w:shd w:val="clear" w:color="auto" w:fill="D8D8D8" w:themeFill="background1" w:themeFillShade="D9"/>
            <w:vAlign w:val="center"/>
          </w:tcPr>
          <w:p w14:paraId="609D0763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8D8D8" w:themeFill="background1" w:themeFillShade="D9"/>
            <w:vAlign w:val="center"/>
          </w:tcPr>
          <w:p w14:paraId="3B7704F0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>
              <w:rPr>
                <w:rFonts w:hint="cs" w:cs="Arial"/>
                <w:b/>
                <w:bCs/>
                <w:sz w:val="28"/>
                <w:szCs w:val="28"/>
                <w:rtl/>
                <w:lang w:bidi="ar-DZ"/>
              </w:rPr>
              <w:t>ة</w:t>
            </w:r>
            <w:r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14:paraId="5D14E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0" w:type="dxa"/>
            <w:shd w:val="clear" w:color="auto" w:fill="D8D8D8" w:themeFill="background1" w:themeFillShade="D9"/>
            <w:vAlign w:val="center"/>
          </w:tcPr>
          <w:p w14:paraId="72A4145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Style w:val="16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14:paraId="09EAA70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khenchouche.a@gmail.com</w:t>
            </w: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0C96111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40ECD57C">
            <w:pPr>
              <w:bidi/>
              <w:spacing w:after="0" w:line="240" w:lineRule="auto"/>
              <w:jc w:val="both"/>
              <w:rPr>
                <w:rFonts w:hint="cs" w:cstheme="minorBidi"/>
                <w:rtl/>
                <w:lang w:val="fr-FR" w:bidi="ar-DZ"/>
              </w:rPr>
            </w:pPr>
            <w:r>
              <w:rPr>
                <w:rFonts w:hint="cs" w:cstheme="minorBidi"/>
                <w:rtl/>
                <w:lang w:val="fr-FR" w:bidi="ar-DZ"/>
              </w:rPr>
              <w:t>الأحد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5EDE588E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04020C9B">
            <w:pPr>
              <w:bidi/>
              <w:spacing w:after="0" w:line="240" w:lineRule="auto"/>
              <w:rPr>
                <w:rFonts w:hint="default"/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08:00</w:t>
            </w:r>
          </w:p>
        </w:tc>
      </w:tr>
      <w:tr w14:paraId="25386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0" w:type="dxa"/>
            <w:shd w:val="clear" w:color="auto" w:fill="D8D8D8" w:themeFill="background1" w:themeFillShade="D9"/>
            <w:vAlign w:val="center"/>
          </w:tcPr>
          <w:p w14:paraId="3AA6A3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Style w:val="16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14:paraId="14C1469A">
            <w:pPr>
              <w:bidi/>
              <w:spacing w:after="0" w:line="240" w:lineRule="auto"/>
              <w:rPr>
                <w:rFonts w:hint="default"/>
                <w:rtl/>
                <w:lang w:val="fr-FR" w:bidi="ar-DZ"/>
              </w:rPr>
            </w:pPr>
            <w:r>
              <w:rPr>
                <w:rFonts w:hint="default"/>
                <w:rtl w:val="0"/>
                <w:lang w:val="fr-FR" w:bidi="ar-DZ"/>
              </w:rPr>
              <w:t>0659764159</w:t>
            </w: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453EDC7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56032872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2537307D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0D34E6B7">
            <w:pPr>
              <w:bidi/>
              <w:spacing w:after="0" w:line="240" w:lineRule="auto"/>
              <w:rPr>
                <w:rFonts w:hint="default"/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10:00</w:t>
            </w:r>
          </w:p>
        </w:tc>
      </w:tr>
      <w:tr w14:paraId="73A50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0" w:type="dxa"/>
            <w:shd w:val="clear" w:color="auto" w:fill="D8D8D8" w:themeFill="background1" w:themeFillShade="D9"/>
            <w:vAlign w:val="center"/>
          </w:tcPr>
          <w:p w14:paraId="414E6959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Style w:val="16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>
              <w:rPr>
                <w:rStyle w:val="16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14:paraId="7599E941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25E2C1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571116C9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55C2B1E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3DEC55D8">
            <w:pPr>
              <w:bidi/>
              <w:spacing w:after="0" w:line="240" w:lineRule="auto"/>
              <w:rPr>
                <w:rFonts w:hint="default"/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10:00</w:t>
            </w:r>
          </w:p>
        </w:tc>
      </w:tr>
      <w:tr w14:paraId="493D3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0" w:type="dxa"/>
            <w:shd w:val="clear" w:color="auto" w:fill="D8D8D8" w:themeFill="background1" w:themeFillShade="D9"/>
            <w:vAlign w:val="center"/>
          </w:tcPr>
          <w:p w14:paraId="3B870FF5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14:paraId="1C7D2172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1F10321D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14:paraId="1AB92281">
            <w:pPr>
              <w:bidi/>
              <w:spacing w:after="0" w:line="240" w:lineRule="auto"/>
              <w:rPr>
                <w:rFonts w:hint="default"/>
                <w:rtl/>
                <w:lang w:val="fr-FR" w:bidi="ar-DZ"/>
              </w:rPr>
            </w:pPr>
            <w:r>
              <w:rPr>
                <w:rFonts w:hint="default"/>
                <w:rtl w:val="0"/>
                <w:lang w:val="fr-FR" w:bidi="ar-DZ"/>
              </w:rPr>
              <w:t>SNV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56C32979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14:paraId="1BD33EEB">
            <w:pPr>
              <w:bidi/>
              <w:spacing w:after="0" w:line="240" w:lineRule="auto"/>
              <w:rPr>
                <w:rFonts w:hint="cs" w:cstheme="minorBidi"/>
                <w:rtl/>
                <w:lang w:val="fr-FR" w:bidi="ar-DZ"/>
              </w:rPr>
            </w:pPr>
            <w:r>
              <w:rPr>
                <w:rFonts w:hint="default"/>
                <w:rtl w:val="0"/>
                <w:lang w:val="fr-FR" w:bidi="ar-DZ"/>
              </w:rPr>
              <w:t>12</w:t>
            </w:r>
          </w:p>
        </w:tc>
      </w:tr>
    </w:tbl>
    <w:p w14:paraId="6102BD65">
      <w:pPr>
        <w:bidi/>
        <w:rPr>
          <w:sz w:val="10"/>
          <w:szCs w:val="10"/>
          <w:rtl/>
          <w:lang w:bidi="ar-DZ"/>
        </w:rPr>
      </w:pPr>
    </w:p>
    <w:tbl>
      <w:tblPr>
        <w:tblStyle w:val="9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14:paraId="7600C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887" w:type="dxa"/>
            <w:gridSpan w:val="8"/>
            <w:vAlign w:val="center"/>
          </w:tcPr>
          <w:p w14:paraId="5EBAFF3D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14:paraId="79F87070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14:paraId="5833B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264" w:type="dxa"/>
            <w:vMerge w:val="restart"/>
            <w:shd w:val="clear" w:color="auto" w:fill="D8D8D8" w:themeFill="background1" w:themeFillShade="D9"/>
            <w:vAlign w:val="center"/>
          </w:tcPr>
          <w:p w14:paraId="27488BA5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8D8D8" w:themeFill="background1" w:themeFillShade="D9"/>
            <w:vAlign w:val="center"/>
          </w:tcPr>
          <w:p w14:paraId="5E4C9FC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8D8D8" w:themeFill="background1" w:themeFillShade="D9"/>
            <w:vAlign w:val="center"/>
          </w:tcPr>
          <w:p w14:paraId="1F156E5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8D8D8" w:themeFill="background1" w:themeFillShade="D9"/>
            <w:vAlign w:val="center"/>
          </w:tcPr>
          <w:p w14:paraId="37553B0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8D8D8" w:themeFill="background1" w:themeFillShade="D9"/>
            <w:vAlign w:val="center"/>
          </w:tcPr>
          <w:p w14:paraId="1AC0156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14:paraId="0A8A1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264" w:type="dxa"/>
            <w:vMerge w:val="continue"/>
            <w:shd w:val="clear" w:color="auto" w:fill="D8D8D8" w:themeFill="background1" w:themeFillShade="D9"/>
            <w:vAlign w:val="center"/>
          </w:tcPr>
          <w:p w14:paraId="01BCDD69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 w:val="continue"/>
            <w:shd w:val="clear" w:color="auto" w:fill="D8D8D8" w:themeFill="background1" w:themeFillShade="D9"/>
            <w:vAlign w:val="center"/>
          </w:tcPr>
          <w:p w14:paraId="1CC578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46A0E8D3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4D20B17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14F434B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8D8D8" w:themeFill="background1" w:themeFillShade="D9"/>
            <w:vAlign w:val="center"/>
          </w:tcPr>
          <w:p w14:paraId="428CCDE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3E148A1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8D8D8" w:themeFill="background1" w:themeFillShade="D9"/>
            <w:vAlign w:val="center"/>
          </w:tcPr>
          <w:p w14:paraId="54118C5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14:paraId="2440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64" w:type="dxa"/>
            <w:vAlign w:val="center"/>
          </w:tcPr>
          <w:p w14:paraId="370743BD">
            <w:pPr>
              <w:wordWrap w:val="0"/>
              <w:bidi/>
              <w:spacing w:after="0" w:line="240" w:lineRule="auto"/>
              <w:rPr>
                <w:rFonts w:hint="default"/>
                <w:sz w:val="24"/>
                <w:szCs w:val="24"/>
                <w:rtl/>
                <w:lang w:val="en-US" w:bidi="ar-DZ"/>
              </w:rPr>
            </w:pPr>
            <w:r>
              <w:rPr>
                <w:rFonts w:hint="cs"/>
                <w:sz w:val="24"/>
                <w:szCs w:val="24"/>
                <w:rtl/>
                <w:lang w:bidi="ar-DZ"/>
              </w:rPr>
              <w:t>خنشوش</w:t>
            </w:r>
            <w:r>
              <w:rPr>
                <w:rFonts w:hint="cs"/>
                <w:sz w:val="24"/>
                <w:szCs w:val="24"/>
                <w:rtl/>
                <w:lang w:val="en-US" w:bidi="ar-DZ"/>
              </w:rPr>
              <w:t xml:space="preserve"> عبد الحليم</w:t>
            </w:r>
          </w:p>
        </w:tc>
        <w:tc>
          <w:tcPr>
            <w:tcW w:w="1275" w:type="dxa"/>
            <w:vAlign w:val="center"/>
          </w:tcPr>
          <w:p w14:paraId="4BEAF59A">
            <w:pPr>
              <w:bidi/>
              <w:spacing w:after="0" w:line="240" w:lineRule="auto"/>
              <w:rPr>
                <w:rFonts w:hint="default"/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12</w:t>
            </w:r>
          </w:p>
        </w:tc>
        <w:tc>
          <w:tcPr>
            <w:tcW w:w="993" w:type="dxa"/>
            <w:vAlign w:val="center"/>
          </w:tcPr>
          <w:p w14:paraId="1AB0C554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الأحد</w:t>
            </w:r>
          </w:p>
        </w:tc>
        <w:tc>
          <w:tcPr>
            <w:tcW w:w="850" w:type="dxa"/>
            <w:vAlign w:val="center"/>
          </w:tcPr>
          <w:p w14:paraId="210C1AF3">
            <w:pPr>
              <w:bidi/>
              <w:spacing w:after="0" w:line="240" w:lineRule="auto"/>
              <w:jc w:val="center"/>
              <w:rPr>
                <w:rFonts w:hint="default"/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11:00</w:t>
            </w:r>
          </w:p>
        </w:tc>
        <w:tc>
          <w:tcPr>
            <w:tcW w:w="992" w:type="dxa"/>
            <w:vAlign w:val="center"/>
          </w:tcPr>
          <w:p w14:paraId="45716F81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الثلثاء</w:t>
            </w:r>
          </w:p>
        </w:tc>
        <w:tc>
          <w:tcPr>
            <w:tcW w:w="851" w:type="dxa"/>
            <w:vAlign w:val="center"/>
          </w:tcPr>
          <w:p w14:paraId="49F7245D">
            <w:pPr>
              <w:bidi/>
              <w:spacing w:after="0" w:line="240" w:lineRule="auto"/>
              <w:jc w:val="center"/>
              <w:rPr>
                <w:rFonts w:hint="default"/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10:00</w:t>
            </w:r>
          </w:p>
        </w:tc>
        <w:tc>
          <w:tcPr>
            <w:tcW w:w="992" w:type="dxa"/>
            <w:vAlign w:val="center"/>
          </w:tcPr>
          <w:p w14:paraId="027AC816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1670" w:type="dxa"/>
            <w:vAlign w:val="center"/>
          </w:tcPr>
          <w:p w14:paraId="3DC53C16">
            <w:pPr>
              <w:bidi/>
              <w:spacing w:after="0" w:line="240" w:lineRule="auto"/>
              <w:jc w:val="center"/>
              <w:rPr>
                <w:rFonts w:hint="default"/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11:00</w:t>
            </w:r>
          </w:p>
        </w:tc>
      </w:tr>
      <w:bookmarkEnd w:id="0"/>
    </w:tbl>
    <w:p w14:paraId="3BE64971">
      <w:pPr>
        <w:bidi/>
        <w:rPr>
          <w:sz w:val="10"/>
          <w:szCs w:val="10"/>
          <w:rtl/>
          <w:lang w:bidi="ar-DZ"/>
        </w:rPr>
      </w:pPr>
    </w:p>
    <w:tbl>
      <w:tblPr>
        <w:tblStyle w:val="9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14:paraId="7FB09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887" w:type="dxa"/>
            <w:gridSpan w:val="8"/>
            <w:vAlign w:val="center"/>
          </w:tcPr>
          <w:p w14:paraId="0521A50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hint="cs" w:cs="Arial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14:paraId="2F7D8895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14:paraId="4D107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264" w:type="dxa"/>
            <w:vMerge w:val="restart"/>
            <w:shd w:val="clear" w:color="auto" w:fill="D8D8D8" w:themeFill="background1" w:themeFillShade="D9"/>
            <w:vAlign w:val="center"/>
          </w:tcPr>
          <w:p w14:paraId="242A7DF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8D8D8" w:themeFill="background1" w:themeFillShade="D9"/>
            <w:vAlign w:val="center"/>
          </w:tcPr>
          <w:p w14:paraId="19C47CE6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8D8D8" w:themeFill="background1" w:themeFillShade="D9"/>
            <w:vAlign w:val="center"/>
          </w:tcPr>
          <w:p w14:paraId="7A1EEC5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8D8D8" w:themeFill="background1" w:themeFillShade="D9"/>
            <w:vAlign w:val="center"/>
          </w:tcPr>
          <w:p w14:paraId="559098C6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8D8D8" w:themeFill="background1" w:themeFillShade="D9"/>
            <w:vAlign w:val="center"/>
          </w:tcPr>
          <w:p w14:paraId="2DCB272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14:paraId="6DCA9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264" w:type="dxa"/>
            <w:vMerge w:val="continue"/>
            <w:shd w:val="clear" w:color="auto" w:fill="D8D8D8" w:themeFill="background1" w:themeFillShade="D9"/>
            <w:vAlign w:val="center"/>
          </w:tcPr>
          <w:p w14:paraId="3492F134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 w:val="continue"/>
            <w:shd w:val="clear" w:color="auto" w:fill="D8D8D8" w:themeFill="background1" w:themeFillShade="D9"/>
            <w:vAlign w:val="center"/>
          </w:tcPr>
          <w:p w14:paraId="65257056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340ECF3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2721266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46F064B3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8D8D8" w:themeFill="background1" w:themeFillShade="D9"/>
            <w:vAlign w:val="center"/>
          </w:tcPr>
          <w:p w14:paraId="7397684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5A27E6EC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8D8D8" w:themeFill="background1" w:themeFillShade="D9"/>
            <w:vAlign w:val="center"/>
          </w:tcPr>
          <w:p w14:paraId="23EC41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14:paraId="55EE3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64" w:type="dxa"/>
            <w:vAlign w:val="center"/>
          </w:tcPr>
          <w:p w14:paraId="36DAE48F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6F485BF3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6CF0F972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1FDDABB2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14A735B7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7523CCA7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241DFD3F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02FB2C9E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</w:tr>
      <w:tr w14:paraId="5C80C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64" w:type="dxa"/>
            <w:vAlign w:val="center"/>
          </w:tcPr>
          <w:p w14:paraId="20D053EC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2F974295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433A7992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3616250F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27BF264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54D57B38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26CD2B51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5568E62F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</w:tr>
      <w:tr w14:paraId="77525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64" w:type="dxa"/>
            <w:vAlign w:val="center"/>
          </w:tcPr>
          <w:p w14:paraId="54B3E523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610E3F70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1CB9A1EF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77323B5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2ED28709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6F826EDF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1A2F6B47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1C97C817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</w:tr>
      <w:tr w14:paraId="76262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64" w:type="dxa"/>
            <w:vAlign w:val="center"/>
          </w:tcPr>
          <w:p w14:paraId="66579060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656DDEA3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2537DDA0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3848D762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B5E233C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00310FE9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6D096E8B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281D4125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</w:tr>
      <w:tr w14:paraId="21199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64" w:type="dxa"/>
            <w:vAlign w:val="center"/>
          </w:tcPr>
          <w:p w14:paraId="476E2A3A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211C9107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23DC3348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10361E93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20933194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6F054E68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307F2431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2D326F3F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</w:tr>
      <w:tr w14:paraId="62A8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64" w:type="dxa"/>
            <w:vAlign w:val="center"/>
          </w:tcPr>
          <w:p w14:paraId="3C8045F0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5203DCB3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3977E1FE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26A04388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6C7CA696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2878A2D8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051CCB7D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4F8BE769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</w:p>
        </w:tc>
      </w:tr>
    </w:tbl>
    <w:p w14:paraId="6944E2F2">
      <w:pPr>
        <w:bidi/>
        <w:rPr>
          <w:rtl/>
        </w:rPr>
      </w:pPr>
    </w:p>
    <w:p w14:paraId="7C08C1C7">
      <w:pPr>
        <w:bidi/>
        <w:rPr>
          <w:rtl/>
        </w:rPr>
      </w:pPr>
    </w:p>
    <w:p w14:paraId="61FD8A2A">
      <w:pPr>
        <w:bidi/>
        <w:rPr>
          <w:rtl/>
        </w:rPr>
      </w:pPr>
    </w:p>
    <w:p w14:paraId="21606FC3">
      <w:pPr>
        <w:bidi/>
        <w:rPr>
          <w:rtl/>
        </w:rPr>
      </w:pPr>
    </w:p>
    <w:tbl>
      <w:tblPr>
        <w:tblStyle w:val="9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907"/>
      </w:tblGrid>
      <w:tr w14:paraId="7EA65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887" w:type="dxa"/>
            <w:gridSpan w:val="2"/>
            <w:shd w:val="clear" w:color="auto" w:fill="D8D8D8" w:themeFill="background1" w:themeFillShade="D9"/>
            <w:vAlign w:val="center"/>
          </w:tcPr>
          <w:p w14:paraId="46206D69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 w:cs="Arial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14:paraId="4C2E2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980" w:type="dxa"/>
            <w:vAlign w:val="center"/>
          </w:tcPr>
          <w:p w14:paraId="5B4ABDB7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14:paraId="42773DD0">
            <w:pPr>
              <w:bidi/>
              <w:spacing w:after="0" w:line="240" w:lineRule="auto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يهدف هذا التعليم إلى تزويد الطلاب بتكوين نظري حول التفاعلات/العلاقات القائمة بين الكائنات الحية الدقيقة المسببة للأمراض والجهاز المناعي ككل. </w:t>
            </w:r>
          </w:p>
          <w:p w14:paraId="0813A0AC">
            <w:pPr>
              <w:bidi/>
              <w:spacing w:after="0" w:line="240" w:lineRule="auto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يقدم التكوين على شك</w:t>
            </w:r>
            <w:r>
              <w:rPr>
                <w:rFonts w:hint="cs" w:cstheme="minorBidi"/>
                <w:rtl/>
                <w:lang w:val="en-US" w:bidi="ar-DZ"/>
              </w:rPr>
              <w:t xml:space="preserve"> </w:t>
            </w:r>
            <w:r>
              <w:rPr>
                <w:rFonts w:hint="default"/>
                <w:rtl/>
              </w:rPr>
              <w:t>محاضرات وأعمال موجهة تركز على تحليل النتائج التجريبية وتحليل المقالات العلمية، مما يؤدي تدريجياً إلى المنهج العلمي.</w:t>
            </w:r>
          </w:p>
          <w:p w14:paraId="3B95961C">
            <w:pPr>
              <w:bidi/>
              <w:spacing w:after="0" w:line="240" w:lineRule="auto"/>
              <w:jc w:val="both"/>
              <w:rPr>
                <w:rFonts w:hint="default"/>
                <w:rtl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المعرفة المسبقة الموصى بها</w:t>
            </w:r>
            <w:r>
              <w:rPr>
                <w:rFonts w:hint="cs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rtl/>
                <w:lang w:val="en-US" w:bidi="ar-DZ"/>
              </w:rPr>
              <w:t>:</w:t>
            </w:r>
            <w:r>
              <w:rPr>
                <w:rFonts w:hint="cs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rtl/>
                <w:lang w:val="en-US" w:bidi="ar-DZ"/>
              </w:rPr>
              <w:t>.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لم المناعة – علم الأحياء – علم الأحياء الدقيقة</w:t>
            </w:r>
          </w:p>
        </w:tc>
      </w:tr>
      <w:tr w14:paraId="1E2C4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6E66C07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14:paraId="5F7969E8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وحدة أساسية</w:t>
            </w:r>
          </w:p>
        </w:tc>
      </w:tr>
      <w:tr w14:paraId="228BB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60AE2E2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14:paraId="51DB1578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المناعة المضادة للعدوى: التعرف الفطري والمكتسب،</w:t>
            </w:r>
          </w:p>
          <w:p w14:paraId="4DD7DE89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آليات الدفاع الفعالة ضد العوامل المعدية </w:t>
            </w:r>
          </w:p>
          <w:p w14:paraId="26945EDB">
            <w:pPr>
              <w:wordWrap w:val="0"/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- الآليات الجزيئية للضراوة لدى الكائنات الدقيقة</w:t>
            </w:r>
            <w:r>
              <w:rPr>
                <w:rFonts w:hint="cs" w:cstheme="minorBidi"/>
                <w:rtl/>
                <w:lang w:val="en-US" w:bidi="ar-DZ"/>
              </w:rPr>
              <w:t xml:space="preserve"> </w:t>
            </w:r>
            <w:r>
              <w:rPr>
                <w:rFonts w:hint="default"/>
                <w:rtl/>
              </w:rPr>
              <w:t>والتهرب من الجهاز المناعي</w:t>
            </w:r>
          </w:p>
          <w:p w14:paraId="4C373F20">
            <w:pPr>
              <w:wordWrap w:val="0"/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- الآليات الجزيئية للضراوة لدى الكائنات الدقيقة</w:t>
            </w:r>
            <w:r>
              <w:rPr>
                <w:rFonts w:hint="cs" w:cstheme="minorBidi"/>
                <w:rtl/>
                <w:lang w:val="en-US" w:bidi="ar-DZ"/>
              </w:rPr>
              <w:t xml:space="preserve"> </w:t>
            </w:r>
            <w:r>
              <w:rPr>
                <w:rFonts w:hint="default"/>
                <w:rtl/>
              </w:rPr>
              <w:t>النباتية وآليات دفاع النبات</w:t>
            </w:r>
          </w:p>
          <w:p w14:paraId="2EB6EAF1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- مبادئ التلقيح |</w:t>
            </w:r>
          </w:p>
          <w:p w14:paraId="59A968F3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cs" w:cstheme="minorBidi"/>
                <w:rtl/>
                <w:lang w:val="en-US" w:bidi="ar-DZ"/>
              </w:rPr>
              <w:t>-</w:t>
            </w:r>
            <w:r>
              <w:rPr>
                <w:rFonts w:hint="default"/>
                <w:rtl/>
              </w:rPr>
              <w:t xml:space="preserve"> المشبك المناعي واستخدامه من قبل الفيروسات</w:t>
            </w:r>
          </w:p>
        </w:tc>
      </w:tr>
      <w:tr w14:paraId="1F027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7840F10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14:paraId="21C2DB15">
            <w:pPr>
              <w:bidi/>
              <w:spacing w:after="0" w:line="240" w:lineRule="auto"/>
              <w:rPr>
                <w:rFonts w:hint="cs" w:cstheme="minorBidi"/>
                <w:rtl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5</w:t>
            </w:r>
          </w:p>
        </w:tc>
      </w:tr>
      <w:tr w14:paraId="2FAC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5B40073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14:paraId="7278E83D">
            <w:pPr>
              <w:bidi/>
              <w:spacing w:after="0" w:line="240" w:lineRule="auto"/>
              <w:rPr>
                <w:rFonts w:hint="cs" w:cstheme="minorBidi"/>
                <w:rtl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3</w:t>
            </w:r>
          </w:p>
        </w:tc>
      </w:tr>
      <w:tr w14:paraId="61B69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6203EA6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14:paraId="0E8B7506">
            <w:pPr>
              <w:bidi/>
              <w:spacing w:after="0" w:line="240" w:lineRule="auto"/>
              <w:rPr>
                <w:rFonts w:hint="default" w:cstheme="minorBidi"/>
                <w:rtl/>
                <w:lang w:val="fr-FR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10</w:t>
            </w:r>
            <w:r>
              <w:rPr>
                <w:rFonts w:hint="default" w:cstheme="minorBidi"/>
                <w:rtl w:val="0"/>
                <w:lang w:val="fr-FR" w:bidi="ar-DZ"/>
              </w:rPr>
              <w:t>%</w:t>
            </w:r>
          </w:p>
        </w:tc>
      </w:tr>
      <w:tr w14:paraId="7E27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034A8F4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14:paraId="2EACFA81">
            <w:pPr>
              <w:bidi/>
              <w:spacing w:after="0" w:line="240" w:lineRule="auto"/>
              <w:rPr>
                <w:rFonts w:hint="cs" w:cstheme="minorBidi"/>
                <w:rtl/>
                <w:lang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10</w:t>
            </w:r>
            <w:r>
              <w:rPr>
                <w:rFonts w:hint="default" w:cstheme="minorBidi"/>
                <w:rtl w:val="0"/>
                <w:lang w:val="fr-FR" w:bidi="ar-DZ"/>
              </w:rPr>
              <w:t>%</w:t>
            </w:r>
          </w:p>
        </w:tc>
      </w:tr>
      <w:tr w14:paraId="03D66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980" w:type="dxa"/>
            <w:vAlign w:val="center"/>
          </w:tcPr>
          <w:p w14:paraId="40FA2BB9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14:paraId="03871482">
            <w:pPr>
              <w:wordWrap w:val="0"/>
              <w:bidi/>
              <w:spacing w:after="0" w:line="240" w:lineRule="auto"/>
              <w:rPr>
                <w:rFonts w:hint="default" w:cstheme="minorBidi"/>
                <w:rtl/>
                <w:lang w:val="fr-FR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 xml:space="preserve">40 </w:t>
            </w:r>
            <w:r>
              <w:rPr>
                <w:rFonts w:hint="default" w:cstheme="minorBidi"/>
                <w:rtl w:val="0"/>
                <w:lang w:val="fr-FR" w:bidi="ar-DZ"/>
              </w:rPr>
              <w:t>%</w:t>
            </w:r>
          </w:p>
        </w:tc>
      </w:tr>
      <w:tr w14:paraId="16365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80" w:type="dxa"/>
            <w:vAlign w:val="center"/>
          </w:tcPr>
          <w:p w14:paraId="1B69790E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14:paraId="58F7F3A4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 </w:t>
            </w:r>
            <w:r>
              <w:rPr>
                <w:rFonts w:hint="default"/>
                <w:rtl/>
              </w:rPr>
              <w:t>بعد إتمام هذا التعليم، سيكون الطالب قادراً على:</w:t>
            </w:r>
          </w:p>
          <w:p w14:paraId="53D54BF4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- فهم الآليات الجزيئية للتفاعلات بين المضيف والعامل الممرض </w:t>
            </w:r>
          </w:p>
          <w:p w14:paraId="4B525DAE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- تحليل النتائج التجريبية في علم المناعة </w:t>
            </w:r>
          </w:p>
          <w:p w14:paraId="30201371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- إتقان مبادئ التلقيح واستراتيجيات العلاج  المناعي</w:t>
            </w:r>
          </w:p>
          <w:p w14:paraId="42030388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- تبني المنهج العلمي في تحليل البيانات</w:t>
            </w:r>
          </w:p>
        </w:tc>
      </w:tr>
    </w:tbl>
    <w:p w14:paraId="6C1B8809">
      <w:pPr>
        <w:bidi/>
        <w:rPr>
          <w:sz w:val="10"/>
          <w:szCs w:val="10"/>
        </w:rPr>
      </w:pPr>
    </w:p>
    <w:tbl>
      <w:tblPr>
        <w:tblStyle w:val="9"/>
        <w:tblW w:w="992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14:paraId="25A7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923" w:type="dxa"/>
            <w:gridSpan w:val="8"/>
            <w:shd w:val="clear" w:color="auto" w:fill="D8D8D8" w:themeFill="background1" w:themeFillShade="D9"/>
            <w:vAlign w:val="center"/>
          </w:tcPr>
          <w:p w14:paraId="4F42FCC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 w:cs="Arial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14:paraId="2A75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923" w:type="dxa"/>
            <w:gridSpan w:val="8"/>
            <w:shd w:val="clear" w:color="auto" w:fill="D8D8D8" w:themeFill="background1" w:themeFillShade="D9"/>
            <w:vAlign w:val="center"/>
          </w:tcPr>
          <w:p w14:paraId="31B9CDAA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14:paraId="43034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578" w:type="dxa"/>
            <w:vAlign w:val="center"/>
          </w:tcPr>
          <w:p w14:paraId="3B5A8B4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14:paraId="78D03DE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14:paraId="1478EF4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14:paraId="312E160E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14:paraId="18C60DC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14:paraId="0FDC6BA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14:paraId="1B7B380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14:paraId="63BF8DD3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14:paraId="76F12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578" w:type="dxa"/>
            <w:vAlign w:val="center"/>
          </w:tcPr>
          <w:p w14:paraId="3C950193">
            <w:pPr>
              <w:bidi/>
              <w:spacing w:after="0" w:line="240" w:lineRule="auto"/>
              <w:jc w:val="center"/>
            </w:pPr>
            <w:r>
              <w:rPr>
                <w:rFonts w:hint="default"/>
              </w:rPr>
              <w:t>أ-ت-د-ن</w:t>
            </w:r>
          </w:p>
        </w:tc>
        <w:tc>
          <w:tcPr>
            <w:tcW w:w="1570" w:type="dxa"/>
            <w:vAlign w:val="center"/>
          </w:tcPr>
          <w:p w14:paraId="6A09F25C">
            <w:pPr>
              <w:bidi/>
              <w:spacing w:after="0" w:line="240" w:lineRule="auto"/>
              <w:jc w:val="center"/>
              <w:rPr>
                <w:rFonts w:hint="default" w:cstheme="minorBidi"/>
                <w:lang w:val="en-US" w:bidi="ar-DZ"/>
              </w:rPr>
            </w:pPr>
            <w:r>
              <w:rPr>
                <w:rFonts w:hint="cs" w:cstheme="minorBidi"/>
                <w:rtl/>
                <w:lang w:bidi="ar-DZ"/>
              </w:rPr>
              <w:t>أسبوع</w:t>
            </w:r>
            <w:r>
              <w:rPr>
                <w:rFonts w:hint="cs" w:cstheme="minorBidi"/>
                <w:rtl/>
                <w:lang w:val="en-US" w:bidi="ar-DZ"/>
              </w:rPr>
              <w:t xml:space="preserve"> بعد الامتحان</w:t>
            </w:r>
          </w:p>
        </w:tc>
        <w:tc>
          <w:tcPr>
            <w:tcW w:w="1134" w:type="dxa"/>
            <w:vAlign w:val="center"/>
          </w:tcPr>
          <w:p w14:paraId="40FAAB90">
            <w:pPr>
              <w:bidi/>
              <w:spacing w:after="0" w:line="240" w:lineRule="auto"/>
              <w:jc w:val="center"/>
              <w:rPr>
                <w:rFonts w:hint="default" w:cstheme="minorBidi"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5+5+5+5</w:t>
            </w:r>
          </w:p>
        </w:tc>
        <w:tc>
          <w:tcPr>
            <w:tcW w:w="1417" w:type="dxa"/>
            <w:vAlign w:val="center"/>
          </w:tcPr>
          <w:p w14:paraId="102D450C">
            <w:pPr>
              <w:bidi/>
              <w:spacing w:after="0" w:line="240" w:lineRule="auto"/>
              <w:jc w:val="center"/>
              <w:rPr>
                <w:rFonts w:hint="cs" w:cstheme="minorBidi"/>
                <w:lang w:bidi="ar-DZ"/>
              </w:rPr>
            </w:pPr>
            <w:r>
              <w:rPr>
                <w:rFonts w:hint="cs" w:cstheme="minorBidi"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14:paraId="20A40B1B">
            <w:pPr>
              <w:bidi/>
              <w:spacing w:after="0" w:line="240" w:lineRule="auto"/>
              <w:jc w:val="center"/>
              <w:rPr>
                <w:rFonts w:hint="cs" w:cstheme="minorBidi"/>
                <w:lang w:bidi="ar-DZ"/>
              </w:rPr>
            </w:pPr>
            <w:r>
              <w:rPr>
                <w:rFonts w:hint="cs" w:cstheme="minorBidi"/>
                <w:rtl/>
                <w:lang w:bidi="ar-DZ"/>
              </w:rPr>
              <w:t>مكتوب</w:t>
            </w:r>
          </w:p>
        </w:tc>
        <w:tc>
          <w:tcPr>
            <w:tcW w:w="992" w:type="dxa"/>
            <w:vAlign w:val="center"/>
          </w:tcPr>
          <w:p w14:paraId="56764A96">
            <w:pPr>
              <w:bidi/>
              <w:spacing w:after="0" w:line="240" w:lineRule="auto"/>
              <w:jc w:val="center"/>
              <w:rPr>
                <w:rFonts w:hint="default" w:cstheme="minorBidi"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01:30</w:t>
            </w:r>
          </w:p>
        </w:tc>
        <w:tc>
          <w:tcPr>
            <w:tcW w:w="851" w:type="dxa"/>
            <w:vAlign w:val="center"/>
          </w:tcPr>
          <w:p w14:paraId="1D898E34">
            <w:pPr>
              <w:bidi/>
              <w:spacing w:after="0" w:line="240" w:lineRule="auto"/>
              <w:jc w:val="center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A5C5A1">
            <w:pPr>
              <w:bidi/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22"/>
                <w:szCs w:val="22"/>
                <w:lang w:val="fr-FR" w:eastAsia="en-US" w:bidi="ar-SA"/>
              </w:rPr>
            </w:pPr>
            <w:r>
              <w:rPr>
                <w:rFonts w:hint="default"/>
                <w:lang w:val="fr-FR"/>
              </w:rPr>
              <w:t>16</w:t>
            </w:r>
            <w:r>
              <w:rPr>
                <w:rFonts w:hint="default"/>
              </w:rPr>
              <w:t>/</w:t>
            </w:r>
            <w:r>
              <w:rPr>
                <w:rFonts w:hint="default"/>
                <w:lang w:val="fr-FR"/>
              </w:rPr>
              <w:t>12</w:t>
            </w:r>
            <w:r>
              <w:rPr>
                <w:rFonts w:hint="default"/>
              </w:rPr>
              <w:t>/</w:t>
            </w:r>
            <w:r>
              <w:rPr>
                <w:rFonts w:hint="default"/>
                <w:lang w:val="fr-FR"/>
              </w:rPr>
              <w:t>2027</w:t>
            </w:r>
          </w:p>
        </w:tc>
      </w:tr>
      <w:tr w14:paraId="50C0E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923" w:type="dxa"/>
            <w:gridSpan w:val="8"/>
            <w:shd w:val="clear" w:color="auto" w:fill="F1F1F1" w:themeFill="background1" w:themeFillShade="F2"/>
            <w:vAlign w:val="center"/>
          </w:tcPr>
          <w:p w14:paraId="4E00E9AD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الامتحان الثاني للمعارف</w:t>
            </w:r>
          </w:p>
        </w:tc>
      </w:tr>
      <w:tr w14:paraId="0A26E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578" w:type="dxa"/>
            <w:vAlign w:val="center"/>
          </w:tcPr>
          <w:p w14:paraId="3E6D179A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14:paraId="22C21164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14:paraId="366B7FF1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14:paraId="5248F7F6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14:paraId="24220771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14:paraId="58911D1C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14:paraId="22B393EA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14:paraId="3941990E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14:paraId="79ACE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78" w:type="dxa"/>
            <w:vAlign w:val="center"/>
          </w:tcPr>
          <w:p w14:paraId="09D9871F">
            <w:pPr>
              <w:bidi/>
              <w:spacing w:after="0" w:line="240" w:lineRule="auto"/>
              <w:jc w:val="center"/>
            </w:pPr>
            <w:r>
              <w:rPr>
                <w:rFonts w:hint="default"/>
              </w:rPr>
              <w:t>أ-ت-د-ن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3008B4">
            <w:pPr>
              <w:bidi/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22"/>
                <w:szCs w:val="22"/>
                <w:lang w:val="en-US" w:eastAsia="en-US" w:bidi="ar-DZ"/>
              </w:rPr>
            </w:pPr>
            <w:r>
              <w:rPr>
                <w:rFonts w:hint="cs" w:cstheme="minorBidi"/>
                <w:rtl/>
                <w:lang w:bidi="ar-DZ"/>
              </w:rPr>
              <w:t>أسبوع</w:t>
            </w:r>
            <w:r>
              <w:rPr>
                <w:rFonts w:hint="cs" w:cstheme="minorBidi"/>
                <w:rtl/>
                <w:lang w:val="en-US" w:bidi="ar-DZ"/>
              </w:rPr>
              <w:t xml:space="preserve"> بعد الامتحان</w:t>
            </w:r>
          </w:p>
        </w:tc>
        <w:tc>
          <w:tcPr>
            <w:tcW w:w="1134" w:type="dxa"/>
            <w:vAlign w:val="center"/>
          </w:tcPr>
          <w:p w14:paraId="70EB69FF">
            <w:pPr>
              <w:bidi/>
              <w:spacing w:after="0" w:line="240" w:lineRule="auto"/>
              <w:jc w:val="center"/>
              <w:rPr>
                <w:rFonts w:hint="default" w:cstheme="minorBidi"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5+5+5+5</w:t>
            </w:r>
          </w:p>
        </w:tc>
        <w:tc>
          <w:tcPr>
            <w:tcW w:w="1417" w:type="dxa"/>
            <w:vAlign w:val="center"/>
          </w:tcPr>
          <w:p w14:paraId="42194D22">
            <w:pPr>
              <w:bidi/>
              <w:spacing w:after="0" w:line="240" w:lineRule="auto"/>
              <w:jc w:val="center"/>
              <w:rPr>
                <w:rFonts w:hint="cs" w:cstheme="minorBidi"/>
                <w:lang w:bidi="ar-DZ"/>
              </w:rPr>
            </w:pPr>
            <w:r>
              <w:rPr>
                <w:rFonts w:hint="cs" w:cstheme="minorBidi"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14:paraId="47D5A0E5">
            <w:pPr>
              <w:bidi/>
              <w:spacing w:after="0" w:line="240" w:lineRule="auto"/>
              <w:jc w:val="center"/>
              <w:rPr>
                <w:rFonts w:hint="default"/>
                <w:lang w:val="en-US"/>
              </w:rPr>
            </w:pPr>
            <w:r>
              <w:rPr>
                <w:rFonts w:hint="cs" w:cstheme="minorBidi"/>
                <w:rtl/>
                <w:lang w:bidi="ar-DZ"/>
              </w:rPr>
              <w:t>مكتوب</w:t>
            </w:r>
            <w:r>
              <w:rPr>
                <w:rFonts w:hint="cs" w:cstheme="minorBidi"/>
                <w:rtl/>
                <w:lang w:val="en-US" w:bidi="ar-DZ"/>
              </w:rPr>
              <w:t xml:space="preserve"> و شفهي</w:t>
            </w:r>
          </w:p>
        </w:tc>
        <w:tc>
          <w:tcPr>
            <w:tcW w:w="992" w:type="dxa"/>
            <w:vAlign w:val="center"/>
          </w:tcPr>
          <w:p w14:paraId="69EE69CA">
            <w:pPr>
              <w:bidi/>
              <w:spacing w:after="0" w:line="240" w:lineRule="auto"/>
              <w:jc w:val="center"/>
              <w:rPr>
                <w:rFonts w:hint="default" w:cstheme="minorBidi"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01:30</w:t>
            </w:r>
          </w:p>
        </w:tc>
        <w:tc>
          <w:tcPr>
            <w:tcW w:w="851" w:type="dxa"/>
            <w:vAlign w:val="center"/>
          </w:tcPr>
          <w:p w14:paraId="4003E035">
            <w:pPr>
              <w:bidi/>
              <w:spacing w:after="0" w:line="240" w:lineRule="auto"/>
              <w:jc w:val="center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82D53A">
            <w:pPr>
              <w:bidi/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22"/>
                <w:szCs w:val="22"/>
                <w:lang w:val="fr-FR" w:eastAsia="en-US" w:bidi="ar-SA"/>
              </w:rPr>
            </w:pPr>
            <w:r>
              <w:rPr>
                <w:rFonts w:hint="default"/>
              </w:rPr>
              <w:t>22/0</w:t>
            </w:r>
            <w:r>
              <w:rPr>
                <w:rFonts w:hint="default"/>
                <w:lang w:val="fr-FR"/>
              </w:rPr>
              <w:t>1</w:t>
            </w:r>
            <w:r>
              <w:rPr>
                <w:rFonts w:hint="default"/>
              </w:rPr>
              <w:t>/</w:t>
            </w:r>
            <w:r>
              <w:rPr>
                <w:rFonts w:hint="default"/>
                <w:lang w:val="fr-FR"/>
              </w:rPr>
              <w:t>2027</w:t>
            </w:r>
          </w:p>
        </w:tc>
      </w:tr>
    </w:tbl>
    <w:p w14:paraId="052DB3D0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>
        <w:rPr>
          <w:rFonts w:hint="cs" w:cs="Arial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hint="cs" w:cs="Arial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hint="cs" w:cs="Arial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hint="cs" w:cs="Arial"/>
          <w:rtl/>
        </w:rPr>
        <w:t>: ت</w:t>
      </w:r>
      <w:r>
        <w:rPr>
          <w:rFonts w:cs="Arial"/>
          <w:rtl/>
        </w:rPr>
        <w:t>،اختبار متعدد الخيارات</w:t>
      </w:r>
      <w:r>
        <w:rPr>
          <w:rFonts w:hint="cs" w:cs="Arial"/>
          <w:rtl/>
        </w:rPr>
        <w:t>.</w:t>
      </w:r>
    </w:p>
    <w:p w14:paraId="06E5B936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hint="cs" w:cs="Arial"/>
          <w:rtl/>
        </w:rPr>
        <w:t>: ت</w:t>
      </w:r>
      <w:r>
        <w:rPr>
          <w:rFonts w:cs="Arial"/>
          <w:rtl/>
        </w:rPr>
        <w:t>،التوليف</w:t>
      </w:r>
      <w:r>
        <w:rPr>
          <w:rFonts w:hint="cs" w:cs="Arial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hint="cs" w:cs="Arial"/>
          <w:rtl/>
        </w:rPr>
        <w:t>: م</w:t>
      </w:r>
      <w:r>
        <w:rPr>
          <w:rFonts w:cs="Arial"/>
          <w:rtl/>
        </w:rPr>
        <w:t>،</w:t>
      </w:r>
      <w:r>
        <w:rPr>
          <w:rStyle w:val="16"/>
          <w:rFonts w:hint="cs"/>
          <w:rtl/>
        </w:rPr>
        <w:t>الخطوات</w:t>
      </w:r>
      <w:r>
        <w:rPr>
          <w:rFonts w:hint="cs" w:cs="Arial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hint="cs" w:cs="Arial"/>
          <w:rtl/>
        </w:rPr>
        <w:t>: ن.</w:t>
      </w:r>
    </w:p>
    <w:p w14:paraId="1C2A2424">
      <w:pPr>
        <w:bidi/>
        <w:rPr>
          <w:sz w:val="10"/>
          <w:szCs w:val="10"/>
        </w:rPr>
      </w:pPr>
    </w:p>
    <w:tbl>
      <w:tblPr>
        <w:tblStyle w:val="9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765"/>
      </w:tblGrid>
      <w:tr w14:paraId="3DBF6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887" w:type="dxa"/>
            <w:gridSpan w:val="2"/>
            <w:shd w:val="clear" w:color="auto" w:fill="D8D8D8" w:themeFill="background1" w:themeFillShade="D9"/>
            <w:vAlign w:val="center"/>
          </w:tcPr>
          <w:p w14:paraId="3B9FAE3B">
            <w:pPr>
              <w:spacing w:after="0" w:line="240" w:lineRule="auto"/>
              <w:jc w:val="center"/>
              <w:rPr>
                <w:rtl/>
              </w:rPr>
            </w:pPr>
            <w:bookmarkStart w:id="1" w:name="_Hlk129165269"/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14:paraId="0AF9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122" w:type="dxa"/>
            <w:vAlign w:val="center"/>
          </w:tcPr>
          <w:p w14:paraId="0990A17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14:paraId="3486B7ED">
            <w:pPr>
              <w:spacing w:after="0" w:line="240" w:lineRule="auto"/>
            </w:pPr>
          </w:p>
          <w:p w14:paraId="1667B624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 http://www.master.bmc.upmc.fr/</w:t>
            </w:r>
          </w:p>
          <w:p w14:paraId="14490986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http://www.edu.upmc.fr/sdv/immuno/index.php </w:t>
            </w:r>
          </w:p>
        </w:tc>
      </w:tr>
      <w:tr w14:paraId="2127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122" w:type="dxa"/>
            <w:vAlign w:val="center"/>
          </w:tcPr>
          <w:p w14:paraId="19E4C3D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14:paraId="756F7FE8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Moodle جامعة سطيف 1 </w:t>
            </w:r>
          </w:p>
          <w:p w14:paraId="12C6DDA9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Google Classroom</w:t>
            </w:r>
          </w:p>
          <w:p w14:paraId="47E3B245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PubMed / Google Scholar</w:t>
            </w:r>
          </w:p>
        </w:tc>
      </w:tr>
      <w:bookmarkEnd w:id="1"/>
      <w:tr w14:paraId="3E42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2" w:type="dxa"/>
            <w:vAlign w:val="center"/>
          </w:tcPr>
          <w:p w14:paraId="69E1271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م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و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14:paraId="4210AB56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مطبوعة المناعة المضادة للعدوى</w:t>
            </w:r>
          </w:p>
        </w:tc>
      </w:tr>
      <w:tr w14:paraId="44CE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22" w:type="dxa"/>
            <w:vAlign w:val="center"/>
          </w:tcPr>
          <w:p w14:paraId="51148356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14:paraId="308EBDAB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جهاز طرد مركزي</w:t>
            </w:r>
          </w:p>
          <w:p w14:paraId="28C8E7C8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- معدات زراعة الخلايا </w:t>
            </w:r>
          </w:p>
          <w:p w14:paraId="28CCAF47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- جهاز ELISA </w:t>
            </w:r>
          </w:p>
          <w:p w14:paraId="1A6A00C9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- جهاز قياس التدفق الخلوي (عرض توضيحي)</w:t>
            </w:r>
          </w:p>
          <w:p w14:paraId="34A17565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- معدات الترحيل الكهربائي</w:t>
            </w:r>
          </w:p>
        </w:tc>
      </w:tr>
      <w:tr w14:paraId="25480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2" w:type="dxa"/>
            <w:vAlign w:val="center"/>
          </w:tcPr>
          <w:p w14:paraId="5326E726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14:paraId="5FF5BD1F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قفازات|</w:t>
            </w:r>
          </w:p>
          <w:p w14:paraId="536D456B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- معاطف مختبر</w:t>
            </w:r>
          </w:p>
          <w:p w14:paraId="39A2E9B7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- نظارات واقية </w:t>
            </w:r>
          </w:p>
          <w:p w14:paraId="49EEE516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- خزانة السلامة البيولوجية</w:t>
            </w:r>
          </w:p>
        </w:tc>
      </w:tr>
      <w:tr w14:paraId="1B20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2" w:type="dxa"/>
            <w:vAlign w:val="center"/>
          </w:tcPr>
          <w:p w14:paraId="44CE327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14:paraId="2D82ACFC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لا يوجد</w:t>
            </w:r>
          </w:p>
        </w:tc>
      </w:tr>
      <w:tr w14:paraId="7388D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887" w:type="dxa"/>
            <w:gridSpan w:val="2"/>
            <w:shd w:val="clear" w:color="auto" w:fill="D8D8D8" w:themeFill="background1" w:themeFillShade="D9"/>
            <w:vAlign w:val="center"/>
          </w:tcPr>
          <w:p w14:paraId="0EAEA2F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 w:cs="Arial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14:paraId="67F1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2122" w:type="dxa"/>
            <w:vAlign w:val="center"/>
          </w:tcPr>
          <w:p w14:paraId="037C193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ة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14:paraId="26A25970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 المشاركة الفعالة في المحاضرات والأعمال الموجهة </w:t>
            </w:r>
          </w:p>
          <w:p w14:paraId="0E649AFD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|- القراءة المسبقة للوثائق المقدمة </w:t>
            </w:r>
          </w:p>
          <w:p w14:paraId="0303C36E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- إنجاز الأعمال التطبيقية بدقة ومنهجية </w:t>
            </w:r>
          </w:p>
          <w:p w14:paraId="561C57A1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- احترام مواعيد تسليم الأعمال </w:t>
            </w:r>
          </w:p>
          <w:p w14:paraId="08AC15EA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- المشاركة في المناقشات وتحليل المقالات العلمية</w:t>
            </w:r>
          </w:p>
        </w:tc>
      </w:tr>
      <w:tr w14:paraId="2A788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122" w:type="dxa"/>
            <w:vAlign w:val="center"/>
          </w:tcPr>
          <w:p w14:paraId="5AC12EB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أ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14:paraId="4B473C54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 الالتزام بالمواعيد والانتظام في الحضور </w:t>
            </w:r>
          </w:p>
          <w:p w14:paraId="35815063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- تحضير المحاضرات والدعم المناسب </w:t>
            </w:r>
          </w:p>
          <w:p w14:paraId="186BDA45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- التوفر للطلاب خارج أوقات المحاضرات</w:t>
            </w:r>
          </w:p>
        </w:tc>
      </w:tr>
    </w:tbl>
    <w:p w14:paraId="526B32E5">
      <w:pPr>
        <w:bidi/>
      </w:pPr>
    </w:p>
    <w:tbl>
      <w:tblPr>
        <w:tblStyle w:val="9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907"/>
      </w:tblGrid>
      <w:tr w14:paraId="687DF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887" w:type="dxa"/>
            <w:gridSpan w:val="2"/>
            <w:vAlign w:val="center"/>
          </w:tcPr>
          <w:p w14:paraId="68C8F8C5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 w:cs="Arial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14:paraId="4361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980" w:type="dxa"/>
            <w:vAlign w:val="center"/>
          </w:tcPr>
          <w:p w14:paraId="70F7362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14:paraId="34C9CFB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61" w:leftChars="0" w:firstLine="0" w:firstLineChars="0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L. Defranco, R.M. Locksley, Ro. Immunité, la réponse immunitaire dans les maladies </w:t>
            </w:r>
            <w:r>
              <w:rPr>
                <w:rFonts w:hint="default"/>
                <w:rtl w:val="0"/>
                <w:lang w:val="fr-FR"/>
              </w:rPr>
              <w:t xml:space="preserve"> </w:t>
            </w:r>
            <w:r>
              <w:rPr>
                <w:rFonts w:hint="default"/>
                <w:rtl/>
              </w:rPr>
              <w:t>| | infectieuses De Boeck 2009</w:t>
            </w:r>
          </w:p>
          <w:p w14:paraId="361AC11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61" w:leftChars="0" w:firstLine="0" w:firstLineChars="0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 Sansonetii. Microbiologie et maladies infectieuses Editions Fayard 2009 |</w:t>
            </w:r>
          </w:p>
          <w:p w14:paraId="2F815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 xml:space="preserve">- BREZELLEC, H. Microbiologie, Immunologie (2e Edition). Editions Porphyre. 2007 </w:t>
            </w:r>
          </w:p>
          <w:p w14:paraId="3CA1B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/>
                <w:rtl/>
                <w:lang w:val="fr-FR"/>
              </w:rPr>
            </w:pPr>
            <w:r>
              <w:rPr>
                <w:rFonts w:hint="default"/>
                <w:rtl/>
              </w:rPr>
              <w:t xml:space="preserve">- </w:t>
            </w:r>
            <w:r>
              <w:rPr>
                <w:rFonts w:hint="default"/>
                <w:rtl w:val="0"/>
                <w:lang w:val="fr-FR"/>
              </w:rPr>
              <w:t xml:space="preserve"> 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Abbas, A.K. و Lichtman, A.H. أساسيات علم المناعة الأساسي والسريري. Elsevier Masson</w:t>
            </w:r>
          </w:p>
        </w:tc>
      </w:tr>
      <w:tr w14:paraId="218F3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vAlign w:val="center"/>
          </w:tcPr>
          <w:p w14:paraId="1565A31C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14:paraId="49D06CF9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 xml:space="preserve">مقالات علمية مختارة من PubMed / Google Scholar </w:t>
            </w:r>
            <w:r>
              <w:rPr>
                <w:rFonts w:hint="cs" w:cstheme="minorBidi"/>
                <w:rtl/>
                <w:lang w:bidi="ar-DZ"/>
              </w:rPr>
              <w:t>و</w:t>
            </w:r>
            <w:r>
              <w:rPr>
                <w:rFonts w:hint="default"/>
                <w:rtl/>
              </w:rPr>
              <w:t xml:space="preserve"> متاحة على منصة Moodle</w:t>
            </w:r>
          </w:p>
        </w:tc>
      </w:tr>
      <w:tr w14:paraId="20483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vAlign w:val="center"/>
          </w:tcPr>
          <w:p w14:paraId="41E1625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</w:p>
        </w:tc>
        <w:tc>
          <w:tcPr>
            <w:tcW w:w="7907" w:type="dxa"/>
            <w:vAlign w:val="center"/>
          </w:tcPr>
          <w:p w14:paraId="3A6B9727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مطبوعة الدرس متاحة على منصة</w:t>
            </w:r>
          </w:p>
        </w:tc>
      </w:tr>
      <w:tr w14:paraId="2294E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vAlign w:val="center"/>
          </w:tcPr>
          <w:p w14:paraId="0D588D2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14:paraId="6FFDF2AC">
            <w:pPr>
              <w:bidi/>
              <w:spacing w:after="0" w:line="240" w:lineRule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 - 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instrText xml:space="preserve"> HYPERLINK "http://www.master.bmc.upmc.fr/"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separate"/>
            </w:r>
            <w:r>
              <w:rPr>
                <w:rStyle w:val="8"/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shd w:val="clear" w:fill="FFFFFF"/>
              </w:rPr>
              <w:t>http://www.master.bmc.upmc.fr/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end"/>
            </w:r>
          </w:p>
          <w:p w14:paraId="617DC351">
            <w:pPr>
              <w:bidi/>
              <w:spacing w:after="0" w:line="240" w:lineRule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 - 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instrText xml:space="preserve"> HYPERLINK "http://www.edu.upmc.fr/sdv/immuno/index.php"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separate"/>
            </w:r>
            <w:r>
              <w:rPr>
                <w:rStyle w:val="8"/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shd w:val="clear" w:fill="FFFFFF"/>
              </w:rPr>
              <w:t>http://www.edu.upmc.fr/sdv/immuno/index.php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end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 </w:t>
            </w:r>
          </w:p>
          <w:p w14:paraId="15FB5EDA">
            <w:pPr>
              <w:bidi/>
              <w:spacing w:after="0" w:line="240" w:lineRule="auto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 - 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instrText xml:space="preserve"> HYPERLINK "https://www.pubmed.ncbi.nlm.nih.gov/"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separate"/>
            </w:r>
            <w:r>
              <w:rPr>
                <w:rStyle w:val="8"/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shd w:val="clear" w:fill="FFFFFF"/>
              </w:rPr>
              <w:t>www.pubmed.ncbi.nlm.nih.gov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end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- 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instrText xml:space="preserve"> HYPERLINK "https://www.google.scholar.com/"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separate"/>
            </w:r>
            <w:r>
              <w:rPr>
                <w:rStyle w:val="8"/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shd w:val="clear" w:fill="FFFFFF"/>
              </w:rPr>
              <w:t>www.google.scholar.com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end"/>
            </w:r>
          </w:p>
          <w:p w14:paraId="7BE88117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 xml:space="preserve"> - 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instrText xml:space="preserve"> HYPERLINK "https://www.immunology.org/"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separate"/>
            </w:r>
            <w:r>
              <w:rPr>
                <w:rStyle w:val="8"/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shd w:val="clear" w:fill="FFFFFF"/>
              </w:rPr>
              <w:t>www.immunology.org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sz w:val="24"/>
                <w:szCs w:val="24"/>
                <w:u w:val="none"/>
                <w:bdr w:val="single" w:color="auto" w:sz="18" w:space="0"/>
                <w:shd w:val="clear" w:fill="FFFFFF"/>
              </w:rPr>
              <w:fldChar w:fldCharType="end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br w:type="textWrapping"/>
            </w:r>
          </w:p>
        </w:tc>
      </w:tr>
    </w:tbl>
    <w:p w14:paraId="2E3F2E15">
      <w:pPr>
        <w:bidi/>
      </w:pPr>
    </w:p>
    <w:p w14:paraId="1C052DAF">
      <w:pPr>
        <w:bidi/>
      </w:pPr>
      <w:r>
        <w:rPr>
          <w:b/>
          <w:bCs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4445" t="5080" r="14605" b="4445"/>
                <wp:wrapNone/>
                <wp:docPr id="1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B2263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Zone de texte 3" o:spid="_x0000_s1026" o:spt="202" type="#_x0000_t202" style="position:absolute;left:0pt;margin-left:125.6pt;margin-top:25.7pt;height:149.25pt;width:225pt;z-index:251659264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 w14:paraId="24B2263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851" w:right="1418" w:bottom="568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71247C"/>
    <w:multiLevelType w:val="multilevel"/>
    <w:tmpl w:val="1A7124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D7D5BC6"/>
    <w:multiLevelType w:val="multilevel"/>
    <w:tmpl w:val="5D7D5BC6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>
    <w:nsid w:val="67EB00B0"/>
    <w:multiLevelType w:val="multilevel"/>
    <w:tmpl w:val="67EB00B0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79CD8496"/>
    <w:multiLevelType w:val="singleLevel"/>
    <w:tmpl w:val="79CD8496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61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attachedTemplate r:id="rId1"/>
  <w:documentProtection w:edit="forms"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  <w:rsid w:val="0997509B"/>
    <w:rsid w:val="7C8233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fr-FR" w:eastAsia="en-US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numPr>
        <w:ilvl w:val="0"/>
        <w:numId w:val="1"/>
      </w:numPr>
      <w:spacing w:before="120" w:after="120"/>
      <w:outlineLvl w:val="0"/>
    </w:pPr>
    <w:rPr>
      <w:rFonts w:asciiTheme="majorHAnsi" w:hAnsiTheme="majorHAnsi" w:eastAsiaTheme="majorEastAsia" w:cstheme="majorBidi"/>
      <w:b/>
      <w:bCs/>
      <w:color w:val="00B0F0"/>
      <w:sz w:val="32"/>
      <w:szCs w:val="32"/>
    </w:rPr>
  </w:style>
  <w:style w:type="paragraph" w:styleId="3">
    <w:name w:val="heading 2"/>
    <w:basedOn w:val="1"/>
    <w:next w:val="1"/>
    <w:link w:val="11"/>
    <w:autoRedefine/>
    <w:unhideWhenUsed/>
    <w:qFormat/>
    <w:uiPriority w:val="9"/>
    <w:pPr>
      <w:numPr>
        <w:ilvl w:val="1"/>
        <w:numId w:val="2"/>
      </w:numPr>
      <w:spacing w:before="160" w:after="120"/>
      <w:ind w:left="792" w:hanging="432"/>
      <w:outlineLvl w:val="1"/>
    </w:pPr>
    <w:rPr>
      <w:rFonts w:asciiTheme="majorHAnsi" w:hAnsiTheme="majorHAnsi" w:eastAsiaTheme="majorEastAsia" w:cstheme="majorBidi"/>
      <w:b/>
      <w:bCs/>
      <w:i/>
      <w:iCs/>
      <w:color w:val="00B0F0"/>
      <w:sz w:val="26"/>
      <w:szCs w:val="26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</w:rPr>
  </w:style>
  <w:style w:type="table" w:styleId="9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Titre 1 Car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00B0F0"/>
      <w:sz w:val="32"/>
      <w:szCs w:val="32"/>
    </w:rPr>
  </w:style>
  <w:style w:type="character" w:customStyle="1" w:styleId="11">
    <w:name w:val="Titre 2 Car"/>
    <w:basedOn w:val="5"/>
    <w:link w:val="3"/>
    <w:qFormat/>
    <w:uiPriority w:val="9"/>
    <w:rPr>
      <w:rFonts w:asciiTheme="majorHAnsi" w:hAnsiTheme="majorHAnsi" w:eastAsiaTheme="majorEastAsia" w:cstheme="majorBidi"/>
      <w:b/>
      <w:bCs/>
      <w:i/>
      <w:iCs/>
      <w:color w:val="00B0F0"/>
      <w:sz w:val="26"/>
      <w:szCs w:val="26"/>
    </w:rPr>
  </w:style>
  <w:style w:type="character" w:customStyle="1" w:styleId="12">
    <w:name w:val="Titre 3 Car"/>
    <w:basedOn w:val="5"/>
    <w:link w:val="4"/>
    <w:qFormat/>
    <w:uiPriority w:val="9"/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styleId="14">
    <w:name w:val="Placeholder Text"/>
    <w:basedOn w:val="5"/>
    <w:semiHidden/>
    <w:qFormat/>
    <w:uiPriority w:val="99"/>
    <w:rPr>
      <w:color w:val="808080"/>
    </w:rPr>
  </w:style>
  <w:style w:type="character" w:customStyle="1" w:styleId="15">
    <w:name w:val="Texte de bulles Car"/>
    <w:basedOn w:val="5"/>
    <w:link w:val="7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6">
    <w:name w:val="rynqvb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Pages>3</Pages>
  <Words>316</Words>
  <Characters>1741</Characters>
  <Lines>11</Lines>
  <Paragraphs>3</Paragraphs>
  <TotalTime>1</TotalTime>
  <ScaleCrop>false</ScaleCrop>
  <LinksUpToDate>false</LinksUpToDate>
  <CharactersWithSpaces>1951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2023-09-26T11:02:00Z</dcterms:created>
  <dc:creator>Khelif Rabie</dc:creator>
  <cp:lastModifiedBy>Halim Khenchouche</cp:lastModifiedBy>
  <cp:lastPrinted>2023-01-23T10:57:00Z</cp:lastPrinted>
  <dcterms:modified xsi:type="dcterms:W3CDTF">2026-07-14T16:59:25Z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eyJoZGlkIjoiNmY2OTUwNTAwZTVhNTU5MDkzMjAxOGQ4Yjk4YTEzMTQiLCJ1c2VySWQiOiIzNzI4NDI1MDg0NzIwIn0=</vt:lpwstr>
  </property>
  <property fmtid="{D5CDD505-2E9C-101B-9397-08002B2CF9AE}" pid="3" name="KSOProductBuildVer">
    <vt:lpwstr>1033-12.1.0.26880</vt:lpwstr>
  </property>
  <property fmtid="{D5CDD505-2E9C-101B-9397-08002B2CF9AE}" pid="4" name="ICV">
    <vt:lpwstr>975A4BB75D43491F8A9F62E23F07876B_13</vt:lpwstr>
  </property>
</Properties>
</file>